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E108" w14:textId="74C7CEE4" w:rsidR="00FE6C32" w:rsidRPr="001E0391" w:rsidRDefault="00FE6C32" w:rsidP="001E0391">
      <w:pPr>
        <w:spacing w:before="102"/>
        <w:rPr>
          <w:b/>
          <w:sz w:val="36"/>
          <w:szCs w:val="36"/>
        </w:rPr>
      </w:pPr>
      <w:r w:rsidRPr="001E0391">
        <w:rPr>
          <w:b/>
          <w:w w:val="110"/>
          <w:sz w:val="36"/>
          <w:szCs w:val="36"/>
        </w:rPr>
        <w:t>Informační</w:t>
      </w:r>
      <w:r w:rsidR="001E0391" w:rsidRPr="001E0391">
        <w:rPr>
          <w:b/>
          <w:w w:val="110"/>
          <w:sz w:val="36"/>
          <w:szCs w:val="36"/>
        </w:rPr>
        <w:t xml:space="preserve"> </w:t>
      </w:r>
      <w:r w:rsidRPr="001E0391">
        <w:rPr>
          <w:b/>
          <w:w w:val="110"/>
          <w:sz w:val="36"/>
          <w:szCs w:val="36"/>
        </w:rPr>
        <w:t>povinnost</w:t>
      </w:r>
      <w:r w:rsidRPr="001E0391">
        <w:rPr>
          <w:b/>
          <w:spacing w:val="-6"/>
          <w:w w:val="110"/>
          <w:sz w:val="36"/>
          <w:szCs w:val="36"/>
        </w:rPr>
        <w:t xml:space="preserve"> </w:t>
      </w:r>
      <w:r w:rsidRPr="001E0391">
        <w:rPr>
          <w:b/>
          <w:w w:val="110"/>
          <w:sz w:val="36"/>
          <w:szCs w:val="36"/>
        </w:rPr>
        <w:t>k</w:t>
      </w:r>
      <w:r w:rsidR="001E0391" w:rsidRPr="001E0391">
        <w:rPr>
          <w:b/>
          <w:spacing w:val="-29"/>
          <w:w w:val="110"/>
          <w:sz w:val="36"/>
          <w:szCs w:val="36"/>
        </w:rPr>
        <w:t> </w:t>
      </w:r>
      <w:r w:rsidRPr="001E0391">
        <w:rPr>
          <w:b/>
          <w:w w:val="110"/>
          <w:sz w:val="36"/>
          <w:szCs w:val="36"/>
        </w:rPr>
        <w:t>obezřetnostním</w:t>
      </w:r>
      <w:r w:rsidR="001E0391" w:rsidRPr="001E0391">
        <w:rPr>
          <w:b/>
          <w:spacing w:val="-26"/>
          <w:w w:val="110"/>
          <w:sz w:val="36"/>
          <w:szCs w:val="36"/>
        </w:rPr>
        <w:t xml:space="preserve"> </w:t>
      </w:r>
      <w:r w:rsidRPr="001E0391">
        <w:rPr>
          <w:b/>
          <w:spacing w:val="-2"/>
          <w:w w:val="110"/>
          <w:sz w:val="36"/>
          <w:szCs w:val="36"/>
        </w:rPr>
        <w:t>požadavkům</w:t>
      </w:r>
    </w:p>
    <w:p w14:paraId="449BD3C9" w14:textId="77777777" w:rsidR="00FE6C32" w:rsidRPr="006C4B8C" w:rsidRDefault="00FE6C32" w:rsidP="001E0391">
      <w:pPr>
        <w:spacing w:before="266" w:line="304" w:lineRule="auto"/>
        <w:ind w:right="325" w:hanging="2"/>
        <w:jc w:val="both"/>
        <w:rPr>
          <w:color w:val="5A5A5A"/>
        </w:rPr>
      </w:pPr>
      <w:r w:rsidRPr="006C4B8C">
        <w:rPr>
          <w:color w:val="5A5A5A"/>
          <w:w w:val="115"/>
        </w:rPr>
        <w:t xml:space="preserve">ve smyslu Nařízení Evropského parlamentu a Rady (EU) 2019/2033 o obezřetnostních </w:t>
      </w:r>
      <w:r w:rsidRPr="006C4B8C">
        <w:rPr>
          <w:color w:val="5A5A5A"/>
          <w:spacing w:val="-2"/>
          <w:w w:val="115"/>
        </w:rPr>
        <w:t>požadavcích</w:t>
      </w:r>
      <w:r w:rsidRPr="006C4B8C">
        <w:rPr>
          <w:color w:val="5A5A5A"/>
          <w:spacing w:val="-12"/>
          <w:w w:val="115"/>
        </w:rPr>
        <w:t xml:space="preserve"> </w:t>
      </w:r>
      <w:r w:rsidRPr="006C4B8C">
        <w:rPr>
          <w:color w:val="5A5A5A"/>
          <w:spacing w:val="-2"/>
          <w:w w:val="115"/>
        </w:rPr>
        <w:t>na</w:t>
      </w:r>
      <w:r w:rsidRPr="006C4B8C">
        <w:rPr>
          <w:color w:val="5A5A5A"/>
          <w:spacing w:val="-14"/>
          <w:w w:val="115"/>
        </w:rPr>
        <w:t xml:space="preserve"> </w:t>
      </w:r>
      <w:r w:rsidRPr="006C4B8C">
        <w:rPr>
          <w:color w:val="5A5A5A"/>
          <w:spacing w:val="-2"/>
          <w:w w:val="115"/>
        </w:rPr>
        <w:t>investiční</w:t>
      </w:r>
      <w:r w:rsidRPr="006C4B8C">
        <w:rPr>
          <w:color w:val="5A5A5A"/>
          <w:spacing w:val="-15"/>
          <w:w w:val="115"/>
        </w:rPr>
        <w:t xml:space="preserve"> </w:t>
      </w:r>
      <w:r w:rsidRPr="006C4B8C">
        <w:rPr>
          <w:color w:val="5A5A5A"/>
          <w:spacing w:val="-2"/>
          <w:w w:val="115"/>
        </w:rPr>
        <w:t>podniky</w:t>
      </w:r>
      <w:r w:rsidRPr="006C4B8C">
        <w:rPr>
          <w:color w:val="5A5A5A"/>
          <w:spacing w:val="-17"/>
          <w:w w:val="115"/>
        </w:rPr>
        <w:t xml:space="preserve"> </w:t>
      </w:r>
      <w:r w:rsidRPr="006C4B8C">
        <w:rPr>
          <w:color w:val="5A5A5A"/>
          <w:spacing w:val="-2"/>
          <w:w w:val="115"/>
        </w:rPr>
        <w:t>(dále</w:t>
      </w:r>
      <w:r w:rsidRPr="006C4B8C">
        <w:rPr>
          <w:color w:val="5A5A5A"/>
          <w:spacing w:val="-22"/>
          <w:w w:val="115"/>
        </w:rPr>
        <w:t xml:space="preserve"> </w:t>
      </w:r>
      <w:r w:rsidRPr="006C4B8C">
        <w:rPr>
          <w:color w:val="5A5A5A"/>
          <w:spacing w:val="-2"/>
          <w:w w:val="115"/>
        </w:rPr>
        <w:t>jen</w:t>
      </w:r>
      <w:r w:rsidRPr="006C4B8C">
        <w:rPr>
          <w:color w:val="5A5A5A"/>
          <w:spacing w:val="-11"/>
          <w:w w:val="115"/>
        </w:rPr>
        <w:t xml:space="preserve"> </w:t>
      </w:r>
      <w:r w:rsidRPr="006C4B8C">
        <w:rPr>
          <w:b/>
          <w:bCs/>
          <w:color w:val="5A5A5A"/>
          <w:spacing w:val="-2"/>
          <w:w w:val="115"/>
        </w:rPr>
        <w:t>„Nařízení</w:t>
      </w:r>
      <w:r w:rsidRPr="006C4B8C">
        <w:rPr>
          <w:b/>
          <w:bCs/>
          <w:color w:val="5A5A5A"/>
          <w:spacing w:val="-9"/>
          <w:w w:val="115"/>
        </w:rPr>
        <w:t xml:space="preserve"> </w:t>
      </w:r>
      <w:r w:rsidRPr="006C4B8C">
        <w:rPr>
          <w:b/>
          <w:bCs/>
          <w:color w:val="5A5A5A"/>
          <w:spacing w:val="-2"/>
          <w:w w:val="115"/>
        </w:rPr>
        <w:t>IFR"</w:t>
      </w:r>
      <w:r w:rsidRPr="006C4B8C">
        <w:rPr>
          <w:color w:val="5A5A5A"/>
          <w:spacing w:val="-2"/>
          <w:w w:val="115"/>
        </w:rPr>
        <w:t>)</w:t>
      </w:r>
    </w:p>
    <w:p w14:paraId="2918A4BB" w14:textId="77777777" w:rsidR="00FE6C32" w:rsidRPr="006C4B8C" w:rsidRDefault="00FE6C32" w:rsidP="001E0391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6C4B8C">
        <w:rPr>
          <w:w w:val="115"/>
          <w:sz w:val="20"/>
          <w:szCs w:val="20"/>
        </w:rPr>
        <w:t xml:space="preserve">Společnost CYRRUS CORPORATE SOLUTIONS, s.r.o., IČO 079 11 084, se sídlem Na Florenci 2116/15, Nové Město (Praha 1), 110 00 Praha (dále jen </w:t>
      </w:r>
      <w:r w:rsidRPr="008A3DBE">
        <w:rPr>
          <w:b/>
          <w:bCs/>
          <w:w w:val="115"/>
          <w:sz w:val="20"/>
          <w:szCs w:val="20"/>
        </w:rPr>
        <w:t>„Společnost"</w:t>
      </w:r>
      <w:r w:rsidRPr="006C4B8C">
        <w:rPr>
          <w:w w:val="115"/>
          <w:sz w:val="20"/>
          <w:szCs w:val="20"/>
        </w:rPr>
        <w:t xml:space="preserve">), tímto z pozice subjektu finančního </w:t>
      </w:r>
      <w:r w:rsidRPr="00443587">
        <w:rPr>
          <w:w w:val="115"/>
          <w:sz w:val="20"/>
          <w:szCs w:val="20"/>
        </w:rPr>
        <w:t>trhu – obchodníka</w:t>
      </w:r>
      <w:r w:rsidRPr="006C4B8C">
        <w:rPr>
          <w:w w:val="115"/>
          <w:sz w:val="20"/>
          <w:szCs w:val="20"/>
        </w:rPr>
        <w:t xml:space="preserve"> s cennými papíry své klienty (zákazníky) informuje o začleňování hlavních nepříznivých dopadů investičních rozhodnutí na faktory udržitelnosti a prohlášení o</w:t>
      </w:r>
      <w:r>
        <w:rPr>
          <w:w w:val="115"/>
          <w:sz w:val="20"/>
          <w:szCs w:val="20"/>
        </w:rPr>
        <w:t> </w:t>
      </w:r>
      <w:r w:rsidRPr="006C4B8C">
        <w:rPr>
          <w:w w:val="115"/>
          <w:sz w:val="20"/>
          <w:szCs w:val="20"/>
        </w:rPr>
        <w:t>politikách náležité péče ve vztahu k těmto dopadům. Cílem Nařízení IFR je především zvýšení transparentnosti vůči klientům, pokud jde o začleňování rizik týkajících se udržitelnosti a</w:t>
      </w:r>
      <w:r>
        <w:rPr>
          <w:w w:val="115"/>
          <w:sz w:val="20"/>
          <w:szCs w:val="20"/>
        </w:rPr>
        <w:t> </w:t>
      </w:r>
      <w:r w:rsidRPr="006C4B8C">
        <w:rPr>
          <w:w w:val="115"/>
          <w:sz w:val="20"/>
          <w:szCs w:val="20"/>
        </w:rPr>
        <w:t>zohledňování nepříznivých dopadů na udržitelnost.</w:t>
      </w:r>
    </w:p>
    <w:p w14:paraId="31746430" w14:textId="77777777" w:rsidR="00FE6C32" w:rsidRPr="001E0391" w:rsidRDefault="00FE6C32" w:rsidP="001E0391">
      <w:pPr>
        <w:pStyle w:val="Zkladntext"/>
        <w:spacing w:before="229" w:line="307" w:lineRule="auto"/>
        <w:ind w:right="328" w:firstLine="3"/>
        <w:jc w:val="both"/>
        <w:rPr>
          <w:b/>
          <w:bCs/>
          <w:w w:val="115"/>
          <w:sz w:val="24"/>
          <w:szCs w:val="24"/>
        </w:rPr>
      </w:pPr>
      <w:r w:rsidRPr="001E0391">
        <w:rPr>
          <w:b/>
          <w:bCs/>
          <w:w w:val="115"/>
          <w:sz w:val="24"/>
          <w:szCs w:val="24"/>
        </w:rPr>
        <w:t>Zásady odměňování, politika různorodosti</w:t>
      </w:r>
    </w:p>
    <w:p w14:paraId="59345F80" w14:textId="2360ADBC" w:rsidR="00FE6C32" w:rsidRPr="006C4B8C" w:rsidRDefault="00FE6C32" w:rsidP="001E0391">
      <w:pPr>
        <w:pStyle w:val="Zkladntext"/>
        <w:spacing w:before="229" w:line="307" w:lineRule="auto"/>
        <w:ind w:right="328" w:firstLine="3"/>
        <w:jc w:val="both"/>
        <w:rPr>
          <w:sz w:val="20"/>
          <w:szCs w:val="20"/>
        </w:rPr>
      </w:pPr>
      <w:r w:rsidRPr="006C4B8C">
        <w:rPr>
          <w:w w:val="115"/>
          <w:sz w:val="20"/>
          <w:szCs w:val="20"/>
        </w:rPr>
        <w:t xml:space="preserve">Zásady odměňování byly vypracovány v souladu s obecnou povinností efektivního řízení rizik, tak aby </w:t>
      </w:r>
      <w:r w:rsidRPr="006C4B8C">
        <w:rPr>
          <w:w w:val="110"/>
          <w:sz w:val="20"/>
          <w:szCs w:val="20"/>
        </w:rPr>
        <w:t>podporovali řádné</w:t>
      </w:r>
      <w:r w:rsidRPr="006C4B8C">
        <w:rPr>
          <w:spacing w:val="-5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a</w:t>
      </w:r>
      <w:r w:rsidRPr="006C4B8C">
        <w:rPr>
          <w:spacing w:val="-1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efektivní řízení rizik a</w:t>
      </w:r>
      <w:r w:rsidRPr="006C4B8C">
        <w:rPr>
          <w:spacing w:val="-1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byly s</w:t>
      </w:r>
      <w:r w:rsidRPr="006C4B8C">
        <w:rPr>
          <w:spacing w:val="-7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ním v souladu, nepodněcovali k</w:t>
      </w:r>
      <w:r>
        <w:rPr>
          <w:spacing w:val="-11"/>
          <w:w w:val="110"/>
          <w:sz w:val="20"/>
          <w:szCs w:val="20"/>
        </w:rPr>
        <w:t> </w:t>
      </w:r>
      <w:r w:rsidRPr="006C4B8C">
        <w:rPr>
          <w:w w:val="110"/>
          <w:sz w:val="20"/>
          <w:szCs w:val="20"/>
        </w:rPr>
        <w:t xml:space="preserve">podstupování rizika nad rámec </w:t>
      </w:r>
      <w:r w:rsidRPr="006C4B8C">
        <w:rPr>
          <w:w w:val="115"/>
          <w:sz w:val="20"/>
          <w:szCs w:val="20"/>
        </w:rPr>
        <w:t>míry</w:t>
      </w:r>
      <w:r w:rsidRPr="006C4B8C">
        <w:rPr>
          <w:spacing w:val="16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rizika</w:t>
      </w:r>
      <w:r w:rsidRPr="006C4B8C">
        <w:rPr>
          <w:spacing w:val="18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akceptované</w:t>
      </w:r>
      <w:r w:rsidRPr="006C4B8C">
        <w:rPr>
          <w:spacing w:val="30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Společností</w:t>
      </w:r>
      <w:r w:rsidRPr="006C4B8C">
        <w:rPr>
          <w:spacing w:val="28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a</w:t>
      </w:r>
      <w:r w:rsidRPr="006C4B8C">
        <w:rPr>
          <w:spacing w:val="15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byly</w:t>
      </w:r>
      <w:r w:rsidRPr="006C4B8C">
        <w:rPr>
          <w:spacing w:val="14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v souladu</w:t>
      </w:r>
      <w:r w:rsidRPr="006C4B8C">
        <w:rPr>
          <w:spacing w:val="19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se strategií</w:t>
      </w:r>
      <w:r w:rsidRPr="006C4B8C">
        <w:rPr>
          <w:spacing w:val="22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podnikání,</w:t>
      </w:r>
      <w:r w:rsidRPr="006C4B8C">
        <w:rPr>
          <w:spacing w:val="16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dlouhodobými</w:t>
      </w:r>
      <w:r w:rsidRPr="006C4B8C">
        <w:rPr>
          <w:spacing w:val="32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 xml:space="preserve">cíli, hodnotami </w:t>
      </w:r>
      <w:r w:rsidRPr="006C4B8C">
        <w:rPr>
          <w:w w:val="110"/>
          <w:sz w:val="20"/>
          <w:szCs w:val="20"/>
        </w:rPr>
        <w:t>a zájmy Společnosti. Společnost odměňuje všechny pracovníky nediskriminačním</w:t>
      </w:r>
      <w:r w:rsidRPr="006C4B8C">
        <w:rPr>
          <w:spacing w:val="-1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 xml:space="preserve">způsobem, dodržuje principy </w:t>
      </w:r>
      <w:r w:rsidRPr="006C4B8C">
        <w:rPr>
          <w:w w:val="115"/>
          <w:sz w:val="20"/>
          <w:szCs w:val="20"/>
        </w:rPr>
        <w:t>rovného zacházení. Zásady odměňování jsou dále</w:t>
      </w:r>
      <w:r w:rsidRPr="006C4B8C">
        <w:rPr>
          <w:spacing w:val="-4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nastavené tak,</w:t>
      </w:r>
      <w:r w:rsidRPr="006C4B8C">
        <w:rPr>
          <w:spacing w:val="-7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aby</w:t>
      </w:r>
      <w:r w:rsidRPr="006C4B8C">
        <w:rPr>
          <w:spacing w:val="-2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neohrožovali plnění povinnosti jednat v</w:t>
      </w:r>
      <w:r w:rsidRPr="006C4B8C">
        <w:rPr>
          <w:spacing w:val="-16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nejlepším zájmu zákazníků, mj. nesmí být</w:t>
      </w:r>
      <w:r w:rsidRPr="006C4B8C">
        <w:rPr>
          <w:spacing w:val="40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 xml:space="preserve">závislé pouze na splnění prodejního cíle a rovněž zohledňují </w:t>
      </w:r>
      <w:r w:rsidRPr="006C4B8C">
        <w:rPr>
          <w:spacing w:val="-2"/>
          <w:w w:val="115"/>
          <w:sz w:val="20"/>
          <w:szCs w:val="20"/>
        </w:rPr>
        <w:t>problematiku</w:t>
      </w:r>
      <w:r w:rsidRPr="006C4B8C">
        <w:rPr>
          <w:spacing w:val="-4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střetů zájmů,</w:t>
      </w:r>
      <w:r w:rsidRPr="006C4B8C">
        <w:rPr>
          <w:spacing w:val="-9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kterým</w:t>
      </w:r>
      <w:r w:rsidRPr="006C4B8C">
        <w:rPr>
          <w:spacing w:val="-12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se</w:t>
      </w:r>
      <w:r w:rsidRPr="006C4B8C">
        <w:rPr>
          <w:spacing w:val="-14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snaží</w:t>
      </w:r>
      <w:r w:rsidRPr="006C4B8C">
        <w:rPr>
          <w:spacing w:val="-5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předcházet,</w:t>
      </w:r>
      <w:r w:rsidRPr="006C4B8C">
        <w:rPr>
          <w:spacing w:val="-4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a</w:t>
      </w:r>
      <w:r w:rsidRPr="006C4B8C">
        <w:rPr>
          <w:spacing w:val="-9"/>
          <w:w w:val="115"/>
          <w:sz w:val="20"/>
          <w:szCs w:val="20"/>
        </w:rPr>
        <w:t> </w:t>
      </w:r>
      <w:r w:rsidRPr="006C4B8C">
        <w:rPr>
          <w:spacing w:val="-2"/>
          <w:w w:val="115"/>
          <w:sz w:val="20"/>
          <w:szCs w:val="20"/>
        </w:rPr>
        <w:t>podporují</w:t>
      </w:r>
      <w:r w:rsidRPr="006C4B8C">
        <w:rPr>
          <w:spacing w:val="-3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dlouhodobost a</w:t>
      </w:r>
      <w:r w:rsidRPr="006C4B8C">
        <w:rPr>
          <w:spacing w:val="-9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>udržitelnost</w:t>
      </w:r>
      <w:r w:rsidRPr="006C4B8C">
        <w:rPr>
          <w:spacing w:val="13"/>
          <w:w w:val="115"/>
          <w:sz w:val="20"/>
          <w:szCs w:val="20"/>
        </w:rPr>
        <w:t xml:space="preserve"> </w:t>
      </w:r>
      <w:r w:rsidRPr="006C4B8C">
        <w:rPr>
          <w:spacing w:val="-2"/>
          <w:w w:val="115"/>
          <w:sz w:val="20"/>
          <w:szCs w:val="20"/>
        </w:rPr>
        <w:t xml:space="preserve">vykonávaných </w:t>
      </w:r>
      <w:r w:rsidRPr="006C4B8C">
        <w:rPr>
          <w:w w:val="115"/>
          <w:sz w:val="20"/>
          <w:szCs w:val="20"/>
        </w:rPr>
        <w:t>činností</w:t>
      </w:r>
      <w:r w:rsidRPr="006C4B8C">
        <w:rPr>
          <w:spacing w:val="-7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jednotlivých pracovníků,</w:t>
      </w:r>
      <w:r w:rsidRPr="006C4B8C">
        <w:rPr>
          <w:spacing w:val="-9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jakož i celé</w:t>
      </w:r>
      <w:r w:rsidRPr="006C4B8C">
        <w:rPr>
          <w:spacing w:val="-10"/>
          <w:w w:val="115"/>
          <w:sz w:val="20"/>
          <w:szCs w:val="20"/>
        </w:rPr>
        <w:t xml:space="preserve"> </w:t>
      </w:r>
      <w:r w:rsidRPr="006C4B8C">
        <w:rPr>
          <w:w w:val="115"/>
          <w:sz w:val="20"/>
          <w:szCs w:val="20"/>
        </w:rPr>
        <w:t>Společnosti.</w:t>
      </w:r>
    </w:p>
    <w:p w14:paraId="49409814" w14:textId="77777777" w:rsidR="00FE6C32" w:rsidRPr="006C4B8C" w:rsidRDefault="00FE6C32" w:rsidP="001E0391">
      <w:pPr>
        <w:pStyle w:val="Zkladntext"/>
        <w:spacing w:before="166" w:line="307" w:lineRule="auto"/>
        <w:ind w:right="320"/>
        <w:jc w:val="both"/>
        <w:rPr>
          <w:sz w:val="20"/>
          <w:szCs w:val="20"/>
        </w:rPr>
      </w:pPr>
      <w:r w:rsidRPr="006C4B8C">
        <w:rPr>
          <w:w w:val="110"/>
          <w:sz w:val="20"/>
          <w:szCs w:val="20"/>
        </w:rPr>
        <w:t>Společnost při stanovení principů odměňování vychází z povahy, rozsahu a složitosti činností vykonávaných Společností. Při stanovení zásad odměňování Společnost zohlednila svůj význam na trhu v daném segmentu, velikost své personální základny, organizační uspořádání, povahu, rozsah a</w:t>
      </w:r>
      <w:r>
        <w:rPr>
          <w:w w:val="110"/>
          <w:sz w:val="20"/>
          <w:szCs w:val="20"/>
        </w:rPr>
        <w:t> </w:t>
      </w:r>
      <w:r w:rsidRPr="006C4B8C">
        <w:rPr>
          <w:w w:val="110"/>
          <w:sz w:val="20"/>
          <w:szCs w:val="20"/>
        </w:rPr>
        <w:t>složitost činností Společnosti. Společnost při obsazování pozic u osob, jejichž pracovní činnosti má podstatný dopad na rizikový profil Společnosti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uplatňuje politiku rozmanitosti.</w:t>
      </w:r>
    </w:p>
    <w:p w14:paraId="4E17044B" w14:textId="77777777" w:rsidR="00FE6C32" w:rsidRPr="006C4B8C" w:rsidRDefault="00FE6C32" w:rsidP="001E0391">
      <w:pPr>
        <w:pStyle w:val="Zkladntext"/>
        <w:spacing w:before="163" w:line="307" w:lineRule="auto"/>
        <w:ind w:right="336" w:firstLine="1"/>
        <w:jc w:val="both"/>
        <w:rPr>
          <w:sz w:val="20"/>
          <w:szCs w:val="20"/>
        </w:rPr>
      </w:pPr>
      <w:r w:rsidRPr="006C4B8C">
        <w:rPr>
          <w:w w:val="110"/>
          <w:sz w:val="20"/>
          <w:szCs w:val="20"/>
        </w:rPr>
        <w:t>Cílem Společnosti je dosáhnout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různorodých názorů a zkušeností s ohledem na pohlaví, věk, a</w:t>
      </w:r>
      <w:r>
        <w:rPr>
          <w:w w:val="110"/>
          <w:sz w:val="20"/>
          <w:szCs w:val="20"/>
        </w:rPr>
        <w:t> </w:t>
      </w:r>
      <w:r w:rsidRPr="006C4B8C">
        <w:rPr>
          <w:w w:val="110"/>
          <w:sz w:val="20"/>
          <w:szCs w:val="20"/>
        </w:rPr>
        <w:t>zeměpisný původ. Společnost politiku různorodosti uplatňuje především v ohledu na odpovědný nábor pracovníků, rozvoj pracovníků a podporu slaďování pracovního a soukromého života pracovníků. Politika rozmanitosti cílí na dosažení vyrovnaného poměru mužů a žen ve vedení Společnosti a další kultivace pracovního prostředí podporujícího různorodé názory a zkušenosti. Součástí dlouhodobých cílů Společnosti je posilovaní vazby mezi systémem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odměňování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a principem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udržitelnosti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a dlouhodobosti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dosahovaných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výsledků.</w:t>
      </w:r>
    </w:p>
    <w:p w14:paraId="640C8098" w14:textId="77777777" w:rsidR="00FE6C32" w:rsidRPr="006C4B8C" w:rsidRDefault="00FE6C32" w:rsidP="001E0391">
      <w:pPr>
        <w:pStyle w:val="Zkladntext"/>
        <w:spacing w:before="163" w:line="302" w:lineRule="auto"/>
        <w:ind w:right="341" w:firstLine="2"/>
        <w:jc w:val="both"/>
        <w:rPr>
          <w:sz w:val="20"/>
          <w:szCs w:val="20"/>
        </w:rPr>
      </w:pPr>
      <w:r w:rsidRPr="006C4B8C">
        <w:rPr>
          <w:w w:val="110"/>
          <w:sz w:val="20"/>
          <w:szCs w:val="20"/>
        </w:rPr>
        <w:t>Systém odměňování je postaven na principu, kdy se celková odměna sestává z pevné složky (mzda nebo jiná pevná odměna) a pohyblivé složky. Vždy musí být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zachována vyváženost pevné a pohyblivé složky odměny (stanovení vhodného poměru).</w:t>
      </w:r>
    </w:p>
    <w:p w14:paraId="4EAE2EC5" w14:textId="77777777" w:rsidR="00FE6C32" w:rsidRPr="00B55294" w:rsidRDefault="00FE6C32" w:rsidP="001E0391">
      <w:pPr>
        <w:jc w:val="both"/>
      </w:pPr>
    </w:p>
    <w:p w14:paraId="0B451675" w14:textId="77777777" w:rsidR="00FE6C32" w:rsidRPr="00B55294" w:rsidRDefault="00FE6C32" w:rsidP="001E0391"/>
    <w:p w14:paraId="747B46A4" w14:textId="77777777" w:rsidR="00FE6C32" w:rsidRPr="00B55294" w:rsidRDefault="00FE6C32" w:rsidP="001E0391"/>
    <w:p w14:paraId="3851EE00" w14:textId="77777777" w:rsidR="00FE6C32" w:rsidRPr="00B55294" w:rsidRDefault="00FE6C32" w:rsidP="001E0391"/>
    <w:p w14:paraId="3A24498C" w14:textId="77777777" w:rsidR="00FE6C32" w:rsidRPr="00B55294" w:rsidRDefault="00FE6C32" w:rsidP="001E0391"/>
    <w:p w14:paraId="1D2647A5" w14:textId="77777777" w:rsidR="00FE6C32" w:rsidRPr="00B55294" w:rsidRDefault="00FE6C32" w:rsidP="001E0391"/>
    <w:p w14:paraId="609738DD" w14:textId="77777777" w:rsidR="00FE6C32" w:rsidRPr="00B55294" w:rsidRDefault="00FE6C32" w:rsidP="001E0391"/>
    <w:p w14:paraId="246D71C5" w14:textId="77777777" w:rsidR="00FE6C32" w:rsidRPr="001E0391" w:rsidRDefault="00FE6C32" w:rsidP="001E0391">
      <w:pPr>
        <w:pStyle w:val="Odstavecseseznamem"/>
        <w:numPr>
          <w:ilvl w:val="0"/>
          <w:numId w:val="7"/>
        </w:numPr>
        <w:rPr>
          <w:b/>
          <w:bCs/>
        </w:rPr>
      </w:pPr>
      <w:r w:rsidRPr="001E0391">
        <w:rPr>
          <w:b/>
          <w:bCs/>
          <w:w w:val="105"/>
        </w:rPr>
        <w:t>Pevná</w:t>
      </w:r>
      <w:r w:rsidRPr="001E0391">
        <w:rPr>
          <w:b/>
          <w:bCs/>
          <w:spacing w:val="-1"/>
          <w:w w:val="105"/>
        </w:rPr>
        <w:t xml:space="preserve"> </w:t>
      </w:r>
      <w:r w:rsidRPr="001E0391">
        <w:rPr>
          <w:b/>
          <w:bCs/>
          <w:w w:val="105"/>
        </w:rPr>
        <w:t>složka</w:t>
      </w:r>
      <w:r w:rsidRPr="001E0391">
        <w:rPr>
          <w:b/>
          <w:bCs/>
          <w:spacing w:val="-2"/>
          <w:w w:val="105"/>
        </w:rPr>
        <w:t xml:space="preserve"> </w:t>
      </w:r>
      <w:r w:rsidRPr="001E0391">
        <w:rPr>
          <w:b/>
          <w:bCs/>
          <w:w w:val="105"/>
        </w:rPr>
        <w:t>odměny</w:t>
      </w:r>
    </w:p>
    <w:p w14:paraId="15B2533C" w14:textId="77777777" w:rsidR="00FE6C32" w:rsidRPr="006C4B8C" w:rsidRDefault="00FE6C32" w:rsidP="001E0391">
      <w:pPr>
        <w:pStyle w:val="Zkladntext"/>
        <w:spacing w:before="228" w:after="240" w:line="307" w:lineRule="auto"/>
        <w:ind w:right="340" w:firstLine="3"/>
        <w:jc w:val="both"/>
        <w:rPr>
          <w:sz w:val="20"/>
          <w:szCs w:val="20"/>
        </w:rPr>
      </w:pPr>
      <w:r w:rsidRPr="006C4B8C">
        <w:rPr>
          <w:w w:val="110"/>
          <w:sz w:val="20"/>
          <w:szCs w:val="20"/>
        </w:rPr>
        <w:t>Za</w:t>
      </w:r>
      <w:r w:rsidRPr="006C4B8C">
        <w:rPr>
          <w:spacing w:val="25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vykonanou</w:t>
      </w:r>
      <w:r w:rsidRPr="006C4B8C">
        <w:rPr>
          <w:spacing w:val="34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práci</w:t>
      </w:r>
      <w:r w:rsidRPr="006C4B8C">
        <w:rPr>
          <w:spacing w:val="24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náleží</w:t>
      </w:r>
      <w:r w:rsidRPr="006C4B8C">
        <w:rPr>
          <w:spacing w:val="23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mzda,</w:t>
      </w:r>
      <w:r w:rsidRPr="006C4B8C">
        <w:rPr>
          <w:spacing w:val="21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případně</w:t>
      </w:r>
      <w:r w:rsidRPr="006C4B8C">
        <w:rPr>
          <w:spacing w:val="14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jiná</w:t>
      </w:r>
      <w:r w:rsidRPr="006C4B8C">
        <w:rPr>
          <w:spacing w:val="25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pevná</w:t>
      </w:r>
      <w:r w:rsidRPr="006C4B8C">
        <w:rPr>
          <w:spacing w:val="3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odměna.</w:t>
      </w:r>
      <w:r w:rsidRPr="006C4B8C">
        <w:rPr>
          <w:spacing w:val="26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Výše</w:t>
      </w:r>
      <w:r w:rsidRPr="006C4B8C">
        <w:rPr>
          <w:spacing w:val="24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takového</w:t>
      </w:r>
      <w:r w:rsidRPr="006C4B8C">
        <w:rPr>
          <w:spacing w:val="29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ohodnocení</w:t>
      </w:r>
      <w:r w:rsidRPr="006C4B8C">
        <w:rPr>
          <w:spacing w:val="35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se</w:t>
      </w:r>
      <w:r w:rsidRPr="006C4B8C">
        <w:rPr>
          <w:spacing w:val="22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řídí</w:t>
      </w:r>
      <w:r w:rsidRPr="006C4B8C">
        <w:rPr>
          <w:spacing w:val="22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zařazením a úkoly daného pracovníka, a s tím</w:t>
      </w:r>
      <w:r w:rsidRPr="006C4B8C">
        <w:rPr>
          <w:spacing w:val="4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spojenou mírou kompetencí a odpovědnosti.</w:t>
      </w:r>
    </w:p>
    <w:p w14:paraId="752FCEE7" w14:textId="77777777" w:rsidR="00FE6C32" w:rsidRPr="001E0391" w:rsidRDefault="00FE6C32" w:rsidP="001E0391">
      <w:pPr>
        <w:pStyle w:val="Odstavecseseznamem"/>
        <w:numPr>
          <w:ilvl w:val="0"/>
          <w:numId w:val="7"/>
        </w:numPr>
        <w:rPr>
          <w:b/>
          <w:bCs/>
          <w:w w:val="105"/>
        </w:rPr>
      </w:pPr>
      <w:r w:rsidRPr="001E0391">
        <w:rPr>
          <w:b/>
          <w:bCs/>
          <w:w w:val="105"/>
        </w:rPr>
        <w:t>Pohyblivá složka odměny</w:t>
      </w:r>
    </w:p>
    <w:p w14:paraId="46217744" w14:textId="77777777" w:rsidR="00FE6C32" w:rsidRPr="006C4B8C" w:rsidRDefault="00FE6C32" w:rsidP="001E0391">
      <w:pPr>
        <w:pStyle w:val="Zkladntext"/>
        <w:spacing w:before="230" w:line="307" w:lineRule="auto"/>
        <w:ind w:right="342" w:firstLine="1"/>
        <w:jc w:val="both"/>
        <w:rPr>
          <w:sz w:val="20"/>
          <w:szCs w:val="20"/>
        </w:rPr>
      </w:pPr>
      <w:r w:rsidRPr="006C4B8C">
        <w:rPr>
          <w:w w:val="110"/>
          <w:sz w:val="20"/>
          <w:szCs w:val="20"/>
        </w:rPr>
        <w:t>O výši pohyblivé složky, tedy nenárokových peněžitých plnění jednotlivým pracovníkům rozhoduje statutární orgán Společnosti. Pohyblivá složka odměny je vyplácena v závislosti na způsobu a kvalitě plnění pracovních povinností. Při</w:t>
      </w:r>
      <w:r w:rsidRPr="006C4B8C">
        <w:rPr>
          <w:spacing w:val="-10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stanovení výše</w:t>
      </w:r>
      <w:r w:rsidRPr="006C4B8C">
        <w:rPr>
          <w:spacing w:val="-1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pohyblivé složky odměny se</w:t>
      </w:r>
      <w:r w:rsidRPr="006C4B8C">
        <w:rPr>
          <w:spacing w:val="-9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přihlíží k</w:t>
      </w:r>
      <w:r w:rsidRPr="006C4B8C">
        <w:rPr>
          <w:spacing w:val="-8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>činnosti pracovníka a plnění</w:t>
      </w:r>
      <w:r w:rsidRPr="006C4B8C">
        <w:rPr>
          <w:spacing w:val="-12"/>
          <w:w w:val="110"/>
          <w:sz w:val="20"/>
          <w:szCs w:val="20"/>
        </w:rPr>
        <w:t xml:space="preserve"> </w:t>
      </w:r>
      <w:r w:rsidRPr="006C4B8C">
        <w:rPr>
          <w:w w:val="110"/>
          <w:sz w:val="20"/>
          <w:szCs w:val="20"/>
        </w:rPr>
        <w:t xml:space="preserve">jemu zadaných </w:t>
      </w:r>
      <w:r w:rsidRPr="006C4B8C">
        <w:rPr>
          <w:spacing w:val="-2"/>
          <w:w w:val="110"/>
          <w:sz w:val="20"/>
          <w:szCs w:val="20"/>
        </w:rPr>
        <w:t>úkolů.</w:t>
      </w:r>
    </w:p>
    <w:p w14:paraId="0CE95595" w14:textId="77777777" w:rsidR="00FE6C32" w:rsidRPr="006C4B8C" w:rsidRDefault="00FE6C32" w:rsidP="001E0391">
      <w:pPr>
        <w:jc w:val="both"/>
        <w:rPr>
          <w:sz w:val="20"/>
          <w:szCs w:val="20"/>
        </w:rPr>
      </w:pPr>
    </w:p>
    <w:p w14:paraId="6E84DB7D" w14:textId="77777777" w:rsidR="00FE6C32" w:rsidRPr="006C4B8C" w:rsidRDefault="00FE6C32" w:rsidP="001E0391">
      <w:pPr>
        <w:pStyle w:val="Zkladntext"/>
        <w:spacing w:before="230" w:line="307" w:lineRule="auto"/>
        <w:ind w:right="342" w:firstLine="1"/>
        <w:jc w:val="both"/>
        <w:rPr>
          <w:w w:val="110"/>
          <w:sz w:val="20"/>
          <w:szCs w:val="20"/>
        </w:rPr>
      </w:pPr>
      <w:r w:rsidRPr="006C4B8C">
        <w:rPr>
          <w:w w:val="110"/>
          <w:sz w:val="20"/>
          <w:szCs w:val="20"/>
        </w:rPr>
        <w:t>Společnost nezřídila výbor pro odměňování, nezávislou kontrolu systému odměňování provádí dozorčí rada Společnosti. Bližší informace o systému odměňování a souhrnné výše vyplacených odměň lze nalézt ve výroční zprávě Společnosti, má-li Společnost povinnost takovou zprávu vytvářet.</w:t>
      </w:r>
    </w:p>
    <w:p w14:paraId="79E54A9C" w14:textId="77777777" w:rsidR="00FE6C32" w:rsidRPr="00B55294" w:rsidRDefault="00FE6C32" w:rsidP="001E0391">
      <w:pPr>
        <w:pStyle w:val="Zkladntext"/>
      </w:pPr>
    </w:p>
    <w:p w14:paraId="6C6C3AC8" w14:textId="77777777" w:rsidR="00FE6C32" w:rsidRPr="00B55294" w:rsidRDefault="00FE6C32" w:rsidP="001E0391">
      <w:pPr>
        <w:pStyle w:val="Zkladntext"/>
        <w:spacing w:before="158"/>
      </w:pPr>
    </w:p>
    <w:p w14:paraId="0F17EB18" w14:textId="77777777" w:rsidR="00FE6C32" w:rsidRPr="00B55294" w:rsidRDefault="00FE6C32" w:rsidP="001E0391">
      <w:pPr>
        <w:pStyle w:val="Zkladntext"/>
        <w:jc w:val="both"/>
      </w:pPr>
      <w:r w:rsidRPr="00B55294">
        <w:rPr>
          <w:w w:val="110"/>
        </w:rPr>
        <w:t>V</w:t>
      </w:r>
      <w:r w:rsidRPr="00B55294">
        <w:rPr>
          <w:spacing w:val="4"/>
          <w:w w:val="110"/>
        </w:rPr>
        <w:t xml:space="preserve"> </w:t>
      </w:r>
      <w:r w:rsidRPr="00B55294">
        <w:rPr>
          <w:w w:val="110"/>
        </w:rPr>
        <w:t>Praze</w:t>
      </w:r>
      <w:r w:rsidRPr="00B55294">
        <w:rPr>
          <w:spacing w:val="-13"/>
          <w:w w:val="110"/>
        </w:rPr>
        <w:t xml:space="preserve"> </w:t>
      </w:r>
      <w:r w:rsidRPr="00B55294">
        <w:rPr>
          <w:w w:val="110"/>
        </w:rPr>
        <w:t>dne</w:t>
      </w:r>
      <w:r w:rsidRPr="00B55294">
        <w:rPr>
          <w:spacing w:val="-7"/>
          <w:w w:val="110"/>
        </w:rPr>
        <w:t xml:space="preserve"> </w:t>
      </w:r>
      <w:r w:rsidRPr="00B55294">
        <w:rPr>
          <w:spacing w:val="-2"/>
          <w:w w:val="110"/>
        </w:rPr>
        <w:t>1.</w:t>
      </w:r>
      <w:r>
        <w:rPr>
          <w:spacing w:val="-2"/>
          <w:w w:val="110"/>
        </w:rPr>
        <w:t xml:space="preserve"> </w:t>
      </w:r>
      <w:r w:rsidRPr="00B55294">
        <w:rPr>
          <w:spacing w:val="-2"/>
          <w:w w:val="110"/>
        </w:rPr>
        <w:t>3.</w:t>
      </w:r>
      <w:r>
        <w:rPr>
          <w:spacing w:val="-2"/>
          <w:w w:val="110"/>
        </w:rPr>
        <w:t xml:space="preserve"> </w:t>
      </w:r>
      <w:r w:rsidRPr="00B55294">
        <w:rPr>
          <w:spacing w:val="-2"/>
          <w:w w:val="110"/>
        </w:rPr>
        <w:t>2024</w:t>
      </w:r>
    </w:p>
    <w:p w14:paraId="23A2A281" w14:textId="77777777" w:rsidR="00FE6C32" w:rsidRPr="00B55294" w:rsidRDefault="00FE6C32" w:rsidP="001E0391"/>
    <w:p w14:paraId="560D8F8E" w14:textId="77777777" w:rsidR="00AB1AB4" w:rsidRPr="00D4070A" w:rsidRDefault="00AB1AB4" w:rsidP="001E0391"/>
    <w:sectPr w:rsidR="00AB1AB4" w:rsidRPr="00D4070A" w:rsidSect="00D40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701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49EB" w14:textId="77777777" w:rsidR="00FE6C32" w:rsidRDefault="00FE6C32" w:rsidP="00605702">
      <w:r>
        <w:separator/>
      </w:r>
    </w:p>
  </w:endnote>
  <w:endnote w:type="continuationSeparator" w:id="0">
    <w:p w14:paraId="0AA777E7" w14:textId="77777777" w:rsidR="00FE6C32" w:rsidRDefault="00FE6C32" w:rsidP="0060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EE"/>
    <w:family w:val="auto"/>
    <w:pitch w:val="variable"/>
    <w:sig w:usb0="E00002FF" w:usb1="5000205B" w:usb2="00000020" w:usb3="00000000" w:csb0="0000019F" w:csb1="00000000"/>
  </w:font>
  <w:font w:name="Nexa Text">
    <w:panose1 w:val="000005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xa Extra Bold">
    <w:panose1 w:val="00000900000000000000"/>
    <w:charset w:val="00"/>
    <w:family w:val="modern"/>
    <w:notTrueType/>
    <w:pitch w:val="variable"/>
    <w:sig w:usb0="80000207" w:usb1="00000073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3E5B" w14:textId="77777777" w:rsidR="00B531D4" w:rsidRDefault="00B531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7BEB8" w14:textId="77777777" w:rsidR="00D4070A" w:rsidRDefault="00B531D4" w:rsidP="009F1029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66EDB8B" wp14:editId="15E95384">
          <wp:simplePos x="0" y="0"/>
          <wp:positionH relativeFrom="page">
            <wp:posOffset>0</wp:posOffset>
          </wp:positionH>
          <wp:positionV relativeFrom="paragraph">
            <wp:posOffset>-595630</wp:posOffset>
          </wp:positionV>
          <wp:extent cx="7559675" cy="113665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odek_CYRRUS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3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C5BE7" w14:textId="77777777" w:rsidR="00D4070A" w:rsidRDefault="00D4070A" w:rsidP="009F1029">
    <w:pPr>
      <w:pStyle w:val="Zpat"/>
    </w:pPr>
  </w:p>
  <w:p w14:paraId="368E9C90" w14:textId="77777777" w:rsidR="00605702" w:rsidRPr="009F1029" w:rsidRDefault="00605702" w:rsidP="009F10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D1DC" w14:textId="77777777" w:rsidR="00B531D4" w:rsidRDefault="00B53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8428" w14:textId="77777777" w:rsidR="00FE6C32" w:rsidRDefault="00FE6C32" w:rsidP="00605702">
      <w:r>
        <w:separator/>
      </w:r>
    </w:p>
  </w:footnote>
  <w:footnote w:type="continuationSeparator" w:id="0">
    <w:p w14:paraId="7BCC04E1" w14:textId="77777777" w:rsidR="00FE6C32" w:rsidRDefault="00FE6C32" w:rsidP="0060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82A8" w14:textId="77777777" w:rsidR="00B531D4" w:rsidRDefault="00B531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1710" w14:textId="77777777" w:rsidR="00605702" w:rsidRDefault="00C82E0C" w:rsidP="00723F0C">
    <w:pPr>
      <w:pStyle w:val="Nadpis1"/>
      <w:rPr>
        <w:rFonts w:ascii="Arial" w:eastAsiaTheme="minorHAnsi" w:hAnsi="Arial" w:cs="Arial"/>
        <w:color w:val="F47929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B350A20" wp14:editId="0CD22F57">
          <wp:simplePos x="0" y="0"/>
          <wp:positionH relativeFrom="column">
            <wp:posOffset>5199953</wp:posOffset>
          </wp:positionH>
          <wp:positionV relativeFrom="paragraph">
            <wp:posOffset>-101603</wp:posOffset>
          </wp:positionV>
          <wp:extent cx="1553919" cy="300424"/>
          <wp:effectExtent l="0" t="0" r="8255" b="4445"/>
          <wp:wrapNone/>
          <wp:docPr id="734" name="Obrázek 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YR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3919" cy="300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BBD45" w14:textId="77777777" w:rsidR="00605702" w:rsidRDefault="006057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B31F" w14:textId="77777777" w:rsidR="00B531D4" w:rsidRDefault="00B53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92D"/>
    <w:multiLevelType w:val="hybridMultilevel"/>
    <w:tmpl w:val="306040F6"/>
    <w:lvl w:ilvl="0" w:tplc="9D4CE74C">
      <w:start w:val="1"/>
      <w:numFmt w:val="bullet"/>
      <w:lvlText w:val="-"/>
      <w:lvlJc w:val="left"/>
      <w:pPr>
        <w:ind w:left="77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9764354"/>
    <w:multiLevelType w:val="hybridMultilevel"/>
    <w:tmpl w:val="69FC6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65D"/>
    <w:multiLevelType w:val="hybridMultilevel"/>
    <w:tmpl w:val="9726F3A4"/>
    <w:lvl w:ilvl="0" w:tplc="4E74218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4C7B"/>
    <w:multiLevelType w:val="hybridMultilevel"/>
    <w:tmpl w:val="BC102152"/>
    <w:lvl w:ilvl="0" w:tplc="A5506E30">
      <w:start w:val="1"/>
      <w:numFmt w:val="decimal"/>
      <w:lvlText w:val="%1."/>
      <w:lvlJc w:val="left"/>
      <w:pPr>
        <w:ind w:left="1074" w:hanging="378"/>
      </w:pPr>
      <w:rPr>
        <w:rFonts w:hint="default"/>
        <w:spacing w:val="-1"/>
        <w:w w:val="86"/>
        <w:lang w:val="cs-CZ" w:eastAsia="en-US" w:bidi="ar-SA"/>
      </w:rPr>
    </w:lvl>
    <w:lvl w:ilvl="1" w:tplc="8F3C8BB8">
      <w:numFmt w:val="bullet"/>
      <w:lvlText w:val="•"/>
      <w:lvlJc w:val="left"/>
      <w:pPr>
        <w:ind w:left="2088" w:hanging="378"/>
      </w:pPr>
      <w:rPr>
        <w:rFonts w:hint="default"/>
        <w:lang w:val="cs-CZ" w:eastAsia="en-US" w:bidi="ar-SA"/>
      </w:rPr>
    </w:lvl>
    <w:lvl w:ilvl="2" w:tplc="979E1C8E">
      <w:numFmt w:val="bullet"/>
      <w:lvlText w:val="•"/>
      <w:lvlJc w:val="left"/>
      <w:pPr>
        <w:ind w:left="3097" w:hanging="378"/>
      </w:pPr>
      <w:rPr>
        <w:rFonts w:hint="default"/>
        <w:lang w:val="cs-CZ" w:eastAsia="en-US" w:bidi="ar-SA"/>
      </w:rPr>
    </w:lvl>
    <w:lvl w:ilvl="3" w:tplc="C074A282">
      <w:numFmt w:val="bullet"/>
      <w:lvlText w:val="•"/>
      <w:lvlJc w:val="left"/>
      <w:pPr>
        <w:ind w:left="4105" w:hanging="378"/>
      </w:pPr>
      <w:rPr>
        <w:rFonts w:hint="default"/>
        <w:lang w:val="cs-CZ" w:eastAsia="en-US" w:bidi="ar-SA"/>
      </w:rPr>
    </w:lvl>
    <w:lvl w:ilvl="4" w:tplc="BC906868">
      <w:numFmt w:val="bullet"/>
      <w:lvlText w:val="•"/>
      <w:lvlJc w:val="left"/>
      <w:pPr>
        <w:ind w:left="5114" w:hanging="378"/>
      </w:pPr>
      <w:rPr>
        <w:rFonts w:hint="default"/>
        <w:lang w:val="cs-CZ" w:eastAsia="en-US" w:bidi="ar-SA"/>
      </w:rPr>
    </w:lvl>
    <w:lvl w:ilvl="5" w:tplc="BDC23C60">
      <w:numFmt w:val="bullet"/>
      <w:lvlText w:val="•"/>
      <w:lvlJc w:val="left"/>
      <w:pPr>
        <w:ind w:left="6123" w:hanging="378"/>
      </w:pPr>
      <w:rPr>
        <w:rFonts w:hint="default"/>
        <w:lang w:val="cs-CZ" w:eastAsia="en-US" w:bidi="ar-SA"/>
      </w:rPr>
    </w:lvl>
    <w:lvl w:ilvl="6" w:tplc="7F788B5E">
      <w:numFmt w:val="bullet"/>
      <w:lvlText w:val="•"/>
      <w:lvlJc w:val="left"/>
      <w:pPr>
        <w:ind w:left="7131" w:hanging="378"/>
      </w:pPr>
      <w:rPr>
        <w:rFonts w:hint="default"/>
        <w:lang w:val="cs-CZ" w:eastAsia="en-US" w:bidi="ar-SA"/>
      </w:rPr>
    </w:lvl>
    <w:lvl w:ilvl="7" w:tplc="1A7C5EEA">
      <w:numFmt w:val="bullet"/>
      <w:lvlText w:val="•"/>
      <w:lvlJc w:val="left"/>
      <w:pPr>
        <w:ind w:left="8140" w:hanging="378"/>
      </w:pPr>
      <w:rPr>
        <w:rFonts w:hint="default"/>
        <w:lang w:val="cs-CZ" w:eastAsia="en-US" w:bidi="ar-SA"/>
      </w:rPr>
    </w:lvl>
    <w:lvl w:ilvl="8" w:tplc="BE54185A">
      <w:numFmt w:val="bullet"/>
      <w:lvlText w:val="•"/>
      <w:lvlJc w:val="left"/>
      <w:pPr>
        <w:ind w:left="9149" w:hanging="378"/>
      </w:pPr>
      <w:rPr>
        <w:rFonts w:hint="default"/>
        <w:lang w:val="cs-CZ" w:eastAsia="en-US" w:bidi="ar-SA"/>
      </w:rPr>
    </w:lvl>
  </w:abstractNum>
  <w:abstractNum w:abstractNumId="4" w15:restartNumberingAfterBreak="0">
    <w:nsid w:val="6B2F2626"/>
    <w:multiLevelType w:val="hybridMultilevel"/>
    <w:tmpl w:val="59D2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661D8"/>
    <w:multiLevelType w:val="hybridMultilevel"/>
    <w:tmpl w:val="CAA6C056"/>
    <w:lvl w:ilvl="0" w:tplc="9D4CE74C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74D4D"/>
    <w:multiLevelType w:val="hybridMultilevel"/>
    <w:tmpl w:val="70FE4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01944">
    <w:abstractNumId w:val="2"/>
  </w:num>
  <w:num w:numId="2" w16cid:durableId="1247572910">
    <w:abstractNumId w:val="6"/>
  </w:num>
  <w:num w:numId="3" w16cid:durableId="1155494491">
    <w:abstractNumId w:val="5"/>
  </w:num>
  <w:num w:numId="4" w16cid:durableId="796484471">
    <w:abstractNumId w:val="0"/>
  </w:num>
  <w:num w:numId="5" w16cid:durableId="204800417">
    <w:abstractNumId w:val="4"/>
  </w:num>
  <w:num w:numId="6" w16cid:durableId="1610356724">
    <w:abstractNumId w:val="3"/>
  </w:num>
  <w:num w:numId="7" w16cid:durableId="195297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32"/>
    <w:rsid w:val="000510E0"/>
    <w:rsid w:val="000D54F4"/>
    <w:rsid w:val="001C718D"/>
    <w:rsid w:val="001E0391"/>
    <w:rsid w:val="00317CC4"/>
    <w:rsid w:val="00320A11"/>
    <w:rsid w:val="00324D55"/>
    <w:rsid w:val="00332635"/>
    <w:rsid w:val="00336DF1"/>
    <w:rsid w:val="003838B3"/>
    <w:rsid w:val="003961A5"/>
    <w:rsid w:val="003B0F0D"/>
    <w:rsid w:val="00470B3A"/>
    <w:rsid w:val="004928ED"/>
    <w:rsid w:val="00495056"/>
    <w:rsid w:val="004F0295"/>
    <w:rsid w:val="00605702"/>
    <w:rsid w:val="00642882"/>
    <w:rsid w:val="00687909"/>
    <w:rsid w:val="00723F0C"/>
    <w:rsid w:val="00776D65"/>
    <w:rsid w:val="007E58EA"/>
    <w:rsid w:val="007F4FFC"/>
    <w:rsid w:val="008125F8"/>
    <w:rsid w:val="008274D4"/>
    <w:rsid w:val="008969A5"/>
    <w:rsid w:val="008A3DBE"/>
    <w:rsid w:val="008A5174"/>
    <w:rsid w:val="008B02AC"/>
    <w:rsid w:val="009257A9"/>
    <w:rsid w:val="009A1CD3"/>
    <w:rsid w:val="009D0819"/>
    <w:rsid w:val="009D4FCD"/>
    <w:rsid w:val="009F1029"/>
    <w:rsid w:val="00A574B8"/>
    <w:rsid w:val="00AB1AB4"/>
    <w:rsid w:val="00B30D9F"/>
    <w:rsid w:val="00B531D4"/>
    <w:rsid w:val="00B63EA1"/>
    <w:rsid w:val="00B84DEE"/>
    <w:rsid w:val="00BB278C"/>
    <w:rsid w:val="00BD23E7"/>
    <w:rsid w:val="00C756E6"/>
    <w:rsid w:val="00C81A45"/>
    <w:rsid w:val="00C82E0C"/>
    <w:rsid w:val="00C8580B"/>
    <w:rsid w:val="00C90383"/>
    <w:rsid w:val="00CF6006"/>
    <w:rsid w:val="00D4070A"/>
    <w:rsid w:val="00D93C41"/>
    <w:rsid w:val="00DE0EDC"/>
    <w:rsid w:val="00E4423E"/>
    <w:rsid w:val="00F31081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82E8"/>
  <w15:chartTrackingRefBased/>
  <w15:docId w15:val="{C59FD723-4ABC-43AD-9B5E-C5F44B4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C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AB1AB4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6D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AB4"/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6D65"/>
    <w:rPr>
      <w:color w:val="003C73" w:themeColor="hyperlink"/>
      <w:u w:val="single"/>
    </w:rPr>
  </w:style>
  <w:style w:type="character" w:styleId="Siln">
    <w:name w:val="Strong"/>
    <w:basedOn w:val="Standardnpsmoodstavce"/>
    <w:uiPriority w:val="22"/>
    <w:qFormat/>
    <w:rsid w:val="00776D6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B1AB4"/>
    <w:rPr>
      <w:rFonts w:asciiTheme="majorHAnsi" w:eastAsiaTheme="majorEastAsia" w:hAnsiTheme="majorHAnsi" w:cstheme="majorBidi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D65"/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paragraph" w:styleId="Odstavecseseznamem">
    <w:name w:val="List Paragraph"/>
    <w:basedOn w:val="Normln"/>
    <w:uiPriority w:val="34"/>
    <w:qFormat/>
    <w:rsid w:val="00776D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5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5702"/>
  </w:style>
  <w:style w:type="paragraph" w:styleId="Zpat">
    <w:name w:val="footer"/>
    <w:basedOn w:val="Normln"/>
    <w:link w:val="ZpatChar"/>
    <w:uiPriority w:val="99"/>
    <w:unhideWhenUsed/>
    <w:rsid w:val="00605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702"/>
  </w:style>
  <w:style w:type="character" w:customStyle="1" w:styleId="Nadpis3Char">
    <w:name w:val="Nadpis 3 Char"/>
    <w:basedOn w:val="Standardnpsmoodstavce"/>
    <w:link w:val="Nadpis3"/>
    <w:uiPriority w:val="9"/>
    <w:rsid w:val="00AB1AB4"/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DE0EDC"/>
    <w:pPr>
      <w:spacing w:after="0" w:line="240" w:lineRule="auto"/>
    </w:pPr>
    <w:rPr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17C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CC4"/>
    <w:pPr>
      <w:pBdr>
        <w:top w:val="single" w:sz="18" w:space="10" w:color="FFC832" w:themeColor="background2"/>
        <w:left w:val="single" w:sz="18" w:space="4" w:color="FFC832" w:themeColor="background2"/>
        <w:bottom w:val="single" w:sz="18" w:space="10" w:color="FFC832" w:themeColor="background2"/>
        <w:right w:val="single" w:sz="18" w:space="4" w:color="FFC832" w:themeColor="background2"/>
      </w:pBdr>
      <w:shd w:val="clear" w:color="auto" w:fill="FFC832" w:themeFill="background2"/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CC4"/>
    <w:rPr>
      <w:i/>
      <w:iCs/>
      <w:color w:val="000000" w:themeColor="text1"/>
      <w:shd w:val="clear" w:color="auto" w:fill="FFC832" w:themeFill="background2"/>
    </w:rPr>
  </w:style>
  <w:style w:type="character" w:styleId="Odkazintenzivn">
    <w:name w:val="Intense Reference"/>
    <w:basedOn w:val="Standardnpsmoodstavce"/>
    <w:uiPriority w:val="32"/>
    <w:qFormat/>
    <w:rsid w:val="008969A5"/>
    <w:rPr>
      <w:b/>
      <w:bCs/>
      <w:smallCaps/>
      <w:color w:val="F4792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69A5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39"/>
    <w:rsid w:val="0089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lieb">
    <w:name w:val="chlieb"/>
    <w:basedOn w:val="Normln"/>
    <w:uiPriority w:val="99"/>
    <w:rsid w:val="00D4070A"/>
    <w:pPr>
      <w:adjustRightInd w:val="0"/>
      <w:spacing w:after="113" w:line="280" w:lineRule="atLeast"/>
      <w:jc w:val="both"/>
      <w:textAlignment w:val="center"/>
    </w:pPr>
    <w:rPr>
      <w:rFonts w:ascii="Roboto" w:hAnsi="Roboto" w:cs="Roboto"/>
      <w:color w:val="000000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E6C32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E6C3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jurcova\Desktop\VJ\Hlavi&#269;kov&#233;%20pap&#237;ry\2024\CYRRUS-CS_hlavickovy_papir_2024.dotx" TargetMode="External"/></Relationships>
</file>

<file path=word/theme/theme1.xml><?xml version="1.0" encoding="utf-8"?>
<a:theme xmlns:a="http://schemas.openxmlformats.org/drawingml/2006/main" name="Motiv Office">
  <a:themeElements>
    <a:clrScheme name="CYRRUS 2021">
      <a:dk1>
        <a:srgbClr val="000000"/>
      </a:dk1>
      <a:lt1>
        <a:sysClr val="window" lastClr="FFFFFF"/>
      </a:lt1>
      <a:dk2>
        <a:srgbClr val="F47929"/>
      </a:dk2>
      <a:lt2>
        <a:srgbClr val="FFC832"/>
      </a:lt2>
      <a:accent1>
        <a:srgbClr val="F47929"/>
      </a:accent1>
      <a:accent2>
        <a:srgbClr val="FFC832"/>
      </a:accent2>
      <a:accent3>
        <a:srgbClr val="036531"/>
      </a:accent3>
      <a:accent4>
        <a:srgbClr val="AF251A"/>
      </a:accent4>
      <a:accent5>
        <a:srgbClr val="B78A17"/>
      </a:accent5>
      <a:accent6>
        <a:srgbClr val="917F5F"/>
      </a:accent6>
      <a:hlink>
        <a:srgbClr val="003C73"/>
      </a:hlink>
      <a:folHlink>
        <a:srgbClr val="00284E"/>
      </a:folHlink>
    </a:clrScheme>
    <a:fontScheme name="CYRRUS 2021">
      <a:majorFont>
        <a:latin typeface="Nexa Extra Bold"/>
        <a:ea typeface=""/>
        <a:cs typeface=""/>
      </a:majorFont>
      <a:minorFont>
        <a:latin typeface="Nexa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4AC0-F1AA-4590-998D-B13498C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CYRRUS-CS_hlavickovy_papir_2024</Template>
  <TotalTime>8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Jurčová Veronika</dc:creator>
  <cp:keywords/>
  <dc:description/>
  <cp:lastModifiedBy>Jurčová Veronika</cp:lastModifiedBy>
  <cp:revision>4</cp:revision>
  <cp:lastPrinted>2020-10-26T13:09:00Z</cp:lastPrinted>
  <dcterms:created xsi:type="dcterms:W3CDTF">2024-05-28T09:11:00Z</dcterms:created>
  <dcterms:modified xsi:type="dcterms:W3CDTF">2024-05-28T09:27:00Z</dcterms:modified>
</cp:coreProperties>
</file>