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05808" w14:textId="77777777" w:rsidR="00810256" w:rsidRPr="004A330C" w:rsidRDefault="00810256" w:rsidP="00611B22">
      <w:pPr>
        <w:widowControl w:val="0"/>
        <w:autoSpaceDE w:val="0"/>
        <w:autoSpaceDN w:val="0"/>
        <w:spacing w:before="102" w:line="240" w:lineRule="auto"/>
        <w:jc w:val="both"/>
        <w:rPr>
          <w:rFonts w:ascii="Arial" w:eastAsia="Arial" w:hAnsi="Arial" w:cs="Arial"/>
          <w:b/>
          <w:w w:val="110"/>
          <w:sz w:val="36"/>
          <w:szCs w:val="36"/>
        </w:rPr>
      </w:pPr>
      <w:r w:rsidRPr="004A330C">
        <w:rPr>
          <w:rFonts w:ascii="Arial" w:eastAsia="Arial" w:hAnsi="Arial" w:cs="Arial"/>
          <w:b/>
          <w:w w:val="110"/>
          <w:sz w:val="36"/>
          <w:szCs w:val="36"/>
        </w:rPr>
        <w:t>Informační povinnost k zohledňování udržitelnosti</w:t>
      </w:r>
    </w:p>
    <w:p w14:paraId="7311239E" w14:textId="77777777" w:rsidR="00810256" w:rsidRPr="004A330C" w:rsidRDefault="00810256" w:rsidP="004A330C">
      <w:pPr>
        <w:ind w:right="260"/>
        <w:jc w:val="both"/>
        <w:rPr>
          <w:rFonts w:ascii="Arial" w:hAnsi="Arial" w:cs="Arial"/>
          <w:color w:val="5A5A5A"/>
          <w:w w:val="115"/>
          <w:sz w:val="22"/>
        </w:rPr>
      </w:pPr>
      <w:r w:rsidRPr="004A330C">
        <w:rPr>
          <w:rFonts w:ascii="Arial" w:hAnsi="Arial" w:cs="Arial"/>
          <w:color w:val="5A5A5A"/>
          <w:w w:val="115"/>
          <w:sz w:val="22"/>
        </w:rPr>
        <w:t>ve smyslu Nařízení Evropského parlamentu a Rady (EU) 2019/2088 o zveřejňování informací souvisejících s udržitelností v odvětví finančních služeb (dále jen „</w:t>
      </w:r>
      <w:r w:rsidRPr="004A330C">
        <w:rPr>
          <w:rFonts w:ascii="Arial" w:hAnsi="Arial" w:cs="Arial"/>
          <w:b/>
          <w:color w:val="5A5A5A"/>
          <w:w w:val="115"/>
          <w:sz w:val="22"/>
        </w:rPr>
        <w:t>Nařízení SFDR</w:t>
      </w:r>
      <w:r w:rsidRPr="004A330C">
        <w:rPr>
          <w:rFonts w:ascii="Arial" w:hAnsi="Arial" w:cs="Arial"/>
          <w:color w:val="5A5A5A"/>
          <w:w w:val="115"/>
          <w:sz w:val="22"/>
        </w:rPr>
        <w:t>“)</w:t>
      </w:r>
    </w:p>
    <w:p w14:paraId="0561DA6B" w14:textId="3ABEA444" w:rsidR="00810256" w:rsidRDefault="00810256" w:rsidP="004A330C">
      <w:pPr>
        <w:pStyle w:val="Zkladntext"/>
        <w:spacing w:before="229" w:line="307" w:lineRule="auto"/>
        <w:ind w:right="328" w:firstLine="3"/>
        <w:jc w:val="both"/>
        <w:rPr>
          <w:w w:val="115"/>
          <w:sz w:val="20"/>
          <w:szCs w:val="20"/>
        </w:rPr>
      </w:pPr>
      <w:r w:rsidRPr="004A330C">
        <w:rPr>
          <w:w w:val="115"/>
          <w:sz w:val="20"/>
          <w:szCs w:val="20"/>
        </w:rPr>
        <w:t>Společnost CYRRUS CORPORATE SOLUTIONS, s.r.o., IČO 079 11 084, se sídlem Na Florenci 2116/15, Nové Město (Praha 1), 110 00 Praha (dále jen „</w:t>
      </w:r>
      <w:r w:rsidRPr="00B4668A">
        <w:rPr>
          <w:b/>
          <w:bCs/>
          <w:w w:val="115"/>
          <w:sz w:val="20"/>
          <w:szCs w:val="20"/>
        </w:rPr>
        <w:t>Společnost</w:t>
      </w:r>
      <w:r w:rsidRPr="004A330C">
        <w:rPr>
          <w:w w:val="115"/>
          <w:sz w:val="20"/>
          <w:szCs w:val="20"/>
        </w:rPr>
        <w:t>"), tímto z pozice subjektu finančního trhu – obchodníka s cennými papíry své klienty (zákazníky) informuje o začleňování rizik týkajících se udržitelnosti a zohledňování nepříznivých dopadů na udržitelnost do svých postupů a</w:t>
      </w:r>
      <w:r w:rsidR="004A330C">
        <w:rPr>
          <w:w w:val="115"/>
          <w:sz w:val="20"/>
          <w:szCs w:val="20"/>
        </w:rPr>
        <w:t> </w:t>
      </w:r>
      <w:r w:rsidRPr="004A330C">
        <w:rPr>
          <w:w w:val="115"/>
          <w:sz w:val="20"/>
          <w:szCs w:val="20"/>
        </w:rPr>
        <w:t>o</w:t>
      </w:r>
      <w:r w:rsidR="004A330C">
        <w:rPr>
          <w:w w:val="115"/>
          <w:sz w:val="20"/>
          <w:szCs w:val="20"/>
        </w:rPr>
        <w:t> </w:t>
      </w:r>
      <w:r w:rsidRPr="004A330C">
        <w:rPr>
          <w:w w:val="115"/>
          <w:sz w:val="20"/>
          <w:szCs w:val="20"/>
        </w:rPr>
        <w:t>poskytování dalších informací souvisejících s udržitelností ve smyslu Nařízení SFDR. Cílem Nařízení SFDR je především zvýšení transparentnosti vůči klientům, zejména s ohledem na environmentální a sociální udržitelnost.</w:t>
      </w:r>
    </w:p>
    <w:p w14:paraId="1604EA27" w14:textId="77777777" w:rsidR="00810256" w:rsidRPr="004A330C" w:rsidRDefault="00810256" w:rsidP="004A330C">
      <w:pPr>
        <w:pStyle w:val="Zkladntext"/>
        <w:spacing w:before="229" w:after="240" w:line="307" w:lineRule="auto"/>
        <w:ind w:right="328" w:firstLine="3"/>
        <w:jc w:val="both"/>
        <w:rPr>
          <w:b/>
          <w:bCs/>
          <w:w w:val="115"/>
          <w:sz w:val="24"/>
          <w:szCs w:val="24"/>
        </w:rPr>
      </w:pPr>
      <w:bookmarkStart w:id="0" w:name="Politika_Společnosti_v_oblasti_rizik_týk"/>
      <w:bookmarkEnd w:id="0"/>
      <w:r w:rsidRPr="004A330C">
        <w:rPr>
          <w:b/>
          <w:bCs/>
          <w:w w:val="115"/>
          <w:sz w:val="24"/>
          <w:szCs w:val="24"/>
        </w:rPr>
        <w:t>Politika Společnosti v oblasti rizik týkajících se udržitelnosti a možné nepříznivé dopady na úrovni subjektů</w:t>
      </w:r>
    </w:p>
    <w:p w14:paraId="5597A53F" w14:textId="77777777" w:rsidR="00810256" w:rsidRPr="004A330C" w:rsidRDefault="00810256" w:rsidP="004A330C">
      <w:pPr>
        <w:pStyle w:val="Zkladntext"/>
        <w:spacing w:before="229" w:line="307" w:lineRule="auto"/>
        <w:ind w:right="328" w:firstLine="3"/>
        <w:jc w:val="both"/>
        <w:rPr>
          <w:w w:val="115"/>
          <w:sz w:val="20"/>
          <w:szCs w:val="20"/>
        </w:rPr>
      </w:pPr>
      <w:r w:rsidRPr="004A330C">
        <w:rPr>
          <w:w w:val="115"/>
          <w:sz w:val="20"/>
          <w:szCs w:val="20"/>
        </w:rPr>
        <w:t>Rizika týkající se udržitelnosti, tedy nepříznivé události v oblasti environmentální a sociální udržitelnosti, stejně jako ostatní rizika, kterým Společnost při své činnosti čelí, mohou mít negativní dopad na Společnost, potažmo na klienty.</w:t>
      </w:r>
    </w:p>
    <w:p w14:paraId="35AB3BE0" w14:textId="0001720B" w:rsidR="00810256" w:rsidRPr="004A330C" w:rsidRDefault="00810256" w:rsidP="004A330C">
      <w:pPr>
        <w:pStyle w:val="Zkladntext"/>
        <w:spacing w:before="229" w:line="307" w:lineRule="auto"/>
        <w:ind w:right="328" w:firstLine="3"/>
        <w:jc w:val="both"/>
        <w:rPr>
          <w:w w:val="115"/>
          <w:sz w:val="20"/>
          <w:szCs w:val="20"/>
        </w:rPr>
      </w:pPr>
      <w:r w:rsidRPr="004A330C">
        <w:rPr>
          <w:w w:val="115"/>
          <w:sz w:val="20"/>
          <w:szCs w:val="20"/>
        </w:rPr>
        <w:t>Rizika týkající se udržitelnosti zahrnují především environmentální (emise skleníkových plynů a</w:t>
      </w:r>
      <w:r w:rsidR="004A330C">
        <w:rPr>
          <w:w w:val="115"/>
          <w:sz w:val="20"/>
          <w:szCs w:val="20"/>
        </w:rPr>
        <w:t> </w:t>
      </w:r>
      <w:r w:rsidRPr="004A330C">
        <w:rPr>
          <w:w w:val="115"/>
          <w:sz w:val="20"/>
          <w:szCs w:val="20"/>
        </w:rPr>
        <w:t>související globální oteplování, energeticky náročný styl života, odpadové znečištění) a sociální problematiku (genderová diskriminace, ochrana lidských práv, dětská práce, ochrana zdraví pracovníků a další). Společnost tímto informuje klienty, že v současnosti nezohledňuje rizika udržitelnosti jako samostatnou kategorii v rámci hodnocení rizik, a to především s ohledem na velikost Společnosti a dále na malý rozsah a způsob poskytovaných služeb.</w:t>
      </w:r>
    </w:p>
    <w:p w14:paraId="0524DFFD" w14:textId="77777777" w:rsidR="00810256" w:rsidRPr="004A330C" w:rsidRDefault="00810256" w:rsidP="004A330C">
      <w:pPr>
        <w:pStyle w:val="Zkladntext"/>
        <w:spacing w:before="229" w:line="307" w:lineRule="auto"/>
        <w:ind w:right="328" w:firstLine="3"/>
        <w:jc w:val="both"/>
        <w:rPr>
          <w:w w:val="115"/>
          <w:sz w:val="20"/>
          <w:szCs w:val="20"/>
        </w:rPr>
      </w:pPr>
      <w:r w:rsidRPr="004A330C">
        <w:rPr>
          <w:w w:val="115"/>
          <w:sz w:val="20"/>
          <w:szCs w:val="20"/>
        </w:rPr>
        <w:t>Společnost do budoucna nevylučuje zohledňování těchto faktorů v rámci poskytování služeb.</w:t>
      </w:r>
    </w:p>
    <w:p w14:paraId="72B197B1" w14:textId="77777777" w:rsidR="00810256" w:rsidRPr="004A330C" w:rsidRDefault="00810256" w:rsidP="004A330C">
      <w:pPr>
        <w:pStyle w:val="Zkladntext"/>
        <w:spacing w:before="229" w:line="307" w:lineRule="auto"/>
        <w:ind w:right="328" w:firstLine="3"/>
        <w:jc w:val="both"/>
        <w:rPr>
          <w:w w:val="115"/>
          <w:sz w:val="20"/>
          <w:szCs w:val="20"/>
        </w:rPr>
      </w:pPr>
      <w:r w:rsidRPr="004A330C">
        <w:rPr>
          <w:w w:val="115"/>
          <w:sz w:val="20"/>
          <w:szCs w:val="20"/>
        </w:rPr>
        <w:t>Společnost o skutečnosti, že nezohledňuje nepříznivé dopady investičních rozhodnutí na faktory udržitelnosti v produktech, klienty informuje v rámci předsmluvních produktových informací.</w:t>
      </w:r>
    </w:p>
    <w:p w14:paraId="221556A4" w14:textId="77777777" w:rsidR="00810256" w:rsidRPr="004A330C" w:rsidRDefault="00810256" w:rsidP="004A330C">
      <w:pPr>
        <w:pStyle w:val="Zkladntext"/>
        <w:spacing w:before="229" w:after="240" w:line="307" w:lineRule="auto"/>
        <w:ind w:right="328" w:firstLine="3"/>
        <w:jc w:val="both"/>
        <w:rPr>
          <w:b/>
          <w:bCs/>
          <w:w w:val="115"/>
          <w:sz w:val="24"/>
          <w:szCs w:val="24"/>
        </w:rPr>
      </w:pPr>
      <w:bookmarkStart w:id="1" w:name="Zásady_odměňování_s_ohledem_na_začleňová"/>
      <w:bookmarkEnd w:id="1"/>
      <w:r w:rsidRPr="004A330C">
        <w:rPr>
          <w:b/>
          <w:bCs/>
          <w:w w:val="115"/>
          <w:sz w:val="24"/>
          <w:szCs w:val="24"/>
        </w:rPr>
        <w:t>Zásady odměňování s ohledem na začleňování rizik týkajících se udržitelnosti</w:t>
      </w:r>
    </w:p>
    <w:p w14:paraId="27A99670" w14:textId="77777777" w:rsidR="00810256" w:rsidRPr="004A330C" w:rsidRDefault="00810256" w:rsidP="004A330C">
      <w:pPr>
        <w:pStyle w:val="Zkladntext"/>
        <w:spacing w:before="229" w:after="240" w:line="307" w:lineRule="auto"/>
        <w:ind w:right="328" w:firstLine="3"/>
        <w:jc w:val="both"/>
        <w:rPr>
          <w:w w:val="115"/>
          <w:sz w:val="20"/>
          <w:szCs w:val="20"/>
        </w:rPr>
      </w:pPr>
      <w:r w:rsidRPr="004A330C">
        <w:rPr>
          <w:w w:val="115"/>
          <w:sz w:val="20"/>
          <w:szCs w:val="20"/>
        </w:rPr>
        <w:t>Společnost uplatňuje jiná hlavní pravidla a zásady odměňování, která jsou nastavena v souladu se sektorovou regulací a která jsou dlouhodobě udržitelná pro Společnost. I když zásady neobsahují jako hlavní kritéria snižování rizik udržitelnost, nejsou nastaveny způsobem, který by nepříznivé dopady investičních rozhodnutí na udržitelnost podporoval.</w:t>
      </w:r>
    </w:p>
    <w:p w14:paraId="5C2273EA" w14:textId="77777777" w:rsidR="00810256" w:rsidRPr="004A330C" w:rsidRDefault="00810256" w:rsidP="004A330C">
      <w:pPr>
        <w:pStyle w:val="Zkladntext"/>
        <w:spacing w:before="229" w:line="307" w:lineRule="auto"/>
        <w:ind w:right="328"/>
        <w:jc w:val="both"/>
        <w:rPr>
          <w:w w:val="115"/>
          <w:sz w:val="20"/>
          <w:szCs w:val="20"/>
        </w:rPr>
      </w:pPr>
      <w:r w:rsidRPr="004A330C">
        <w:rPr>
          <w:w w:val="115"/>
          <w:sz w:val="20"/>
          <w:szCs w:val="20"/>
        </w:rPr>
        <w:t>V Praze dne 1. 3. 2024</w:t>
      </w:r>
    </w:p>
    <w:p w14:paraId="7B0A542C" w14:textId="77777777" w:rsidR="00AB1AB4" w:rsidRPr="004A330C" w:rsidRDefault="00AB1AB4" w:rsidP="004A330C">
      <w:pPr>
        <w:rPr>
          <w:rFonts w:ascii="Arial" w:hAnsi="Arial" w:cs="Arial"/>
        </w:rPr>
      </w:pPr>
    </w:p>
    <w:sectPr w:rsidR="00AB1AB4" w:rsidRPr="004A330C" w:rsidSect="00D40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701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57ACD" w14:textId="77777777" w:rsidR="004750E0" w:rsidRDefault="004750E0" w:rsidP="00605702">
      <w:pPr>
        <w:spacing w:after="0" w:line="240" w:lineRule="auto"/>
      </w:pPr>
      <w:r>
        <w:separator/>
      </w:r>
    </w:p>
  </w:endnote>
  <w:endnote w:type="continuationSeparator" w:id="0">
    <w:p w14:paraId="5D094988" w14:textId="77777777" w:rsidR="004750E0" w:rsidRDefault="004750E0" w:rsidP="0060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EE"/>
    <w:family w:val="auto"/>
    <w:pitch w:val="variable"/>
    <w:sig w:usb0="E00002FF" w:usb1="5000205B" w:usb2="00000020" w:usb3="00000000" w:csb0="0000019F" w:csb1="00000000"/>
  </w:font>
  <w:font w:name="Nexa Text">
    <w:panose1 w:val="000005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Nexa Extra Bold">
    <w:panose1 w:val="000009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75D1F" w14:textId="77777777" w:rsidR="00B531D4" w:rsidRDefault="00B531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D948" w14:textId="77777777" w:rsidR="00D4070A" w:rsidRDefault="00B531D4" w:rsidP="009F1029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E5B6A90" wp14:editId="3413CC7D">
          <wp:simplePos x="0" y="0"/>
          <wp:positionH relativeFrom="page">
            <wp:posOffset>0</wp:posOffset>
          </wp:positionH>
          <wp:positionV relativeFrom="paragraph">
            <wp:posOffset>-595630</wp:posOffset>
          </wp:positionV>
          <wp:extent cx="7559675" cy="113665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odek_CYRRUS_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36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C85F6" w14:textId="77777777" w:rsidR="00D4070A" w:rsidRDefault="00D4070A" w:rsidP="009F1029">
    <w:pPr>
      <w:pStyle w:val="Zpat"/>
    </w:pPr>
  </w:p>
  <w:p w14:paraId="3EBBE9F0" w14:textId="77777777" w:rsidR="00605702" w:rsidRPr="009F1029" w:rsidRDefault="00605702" w:rsidP="009F10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73E5" w14:textId="77777777" w:rsidR="00B531D4" w:rsidRDefault="00B53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0EA94" w14:textId="77777777" w:rsidR="004750E0" w:rsidRDefault="004750E0" w:rsidP="00605702">
      <w:pPr>
        <w:spacing w:after="0" w:line="240" w:lineRule="auto"/>
      </w:pPr>
      <w:r>
        <w:separator/>
      </w:r>
    </w:p>
  </w:footnote>
  <w:footnote w:type="continuationSeparator" w:id="0">
    <w:p w14:paraId="17324397" w14:textId="77777777" w:rsidR="004750E0" w:rsidRDefault="004750E0" w:rsidP="0060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B9FF" w14:textId="77777777" w:rsidR="00B531D4" w:rsidRDefault="00B531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524F" w14:textId="77777777" w:rsidR="00605702" w:rsidRDefault="00C82E0C" w:rsidP="00723F0C">
    <w:pPr>
      <w:pStyle w:val="Nadpis1"/>
      <w:rPr>
        <w:rFonts w:ascii="Arial" w:eastAsiaTheme="minorHAnsi" w:hAnsi="Arial" w:cs="Arial"/>
        <w:color w:val="F47929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A618C02" wp14:editId="7B44ED95">
          <wp:simplePos x="0" y="0"/>
          <wp:positionH relativeFrom="column">
            <wp:posOffset>5199953</wp:posOffset>
          </wp:positionH>
          <wp:positionV relativeFrom="paragraph">
            <wp:posOffset>-101603</wp:posOffset>
          </wp:positionV>
          <wp:extent cx="1553919" cy="300424"/>
          <wp:effectExtent l="0" t="0" r="8255" b="4445"/>
          <wp:wrapNone/>
          <wp:docPr id="734" name="Obrázek 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YR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3919" cy="300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46CE7" w14:textId="77777777" w:rsidR="00605702" w:rsidRDefault="006057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203AA" w14:textId="77777777" w:rsidR="00B531D4" w:rsidRDefault="00B531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192D"/>
    <w:multiLevelType w:val="hybridMultilevel"/>
    <w:tmpl w:val="306040F6"/>
    <w:lvl w:ilvl="0" w:tplc="9D4CE74C">
      <w:start w:val="1"/>
      <w:numFmt w:val="bullet"/>
      <w:lvlText w:val="-"/>
      <w:lvlJc w:val="left"/>
      <w:pPr>
        <w:ind w:left="77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C72765D"/>
    <w:multiLevelType w:val="hybridMultilevel"/>
    <w:tmpl w:val="9726F3A4"/>
    <w:lvl w:ilvl="0" w:tplc="4E74218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F2626"/>
    <w:multiLevelType w:val="hybridMultilevel"/>
    <w:tmpl w:val="59D25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661D8"/>
    <w:multiLevelType w:val="hybridMultilevel"/>
    <w:tmpl w:val="CAA6C056"/>
    <w:lvl w:ilvl="0" w:tplc="9D4CE74C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74D4D"/>
    <w:multiLevelType w:val="hybridMultilevel"/>
    <w:tmpl w:val="70FE4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78832">
    <w:abstractNumId w:val="1"/>
  </w:num>
  <w:num w:numId="2" w16cid:durableId="1394811236">
    <w:abstractNumId w:val="4"/>
  </w:num>
  <w:num w:numId="3" w16cid:durableId="365713149">
    <w:abstractNumId w:val="3"/>
  </w:num>
  <w:num w:numId="4" w16cid:durableId="2066178750">
    <w:abstractNumId w:val="0"/>
  </w:num>
  <w:num w:numId="5" w16cid:durableId="120876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56"/>
    <w:rsid w:val="001C718D"/>
    <w:rsid w:val="00317CC4"/>
    <w:rsid w:val="00320A11"/>
    <w:rsid w:val="00324D55"/>
    <w:rsid w:val="00332635"/>
    <w:rsid w:val="00336DF1"/>
    <w:rsid w:val="003838B3"/>
    <w:rsid w:val="003961A5"/>
    <w:rsid w:val="003B0F0D"/>
    <w:rsid w:val="003C5E28"/>
    <w:rsid w:val="00470B3A"/>
    <w:rsid w:val="004750E0"/>
    <w:rsid w:val="004928ED"/>
    <w:rsid w:val="00495056"/>
    <w:rsid w:val="004A330C"/>
    <w:rsid w:val="004F0295"/>
    <w:rsid w:val="00605702"/>
    <w:rsid w:val="00611B22"/>
    <w:rsid w:val="00642882"/>
    <w:rsid w:val="00687909"/>
    <w:rsid w:val="00723F0C"/>
    <w:rsid w:val="00776D65"/>
    <w:rsid w:val="007C3F37"/>
    <w:rsid w:val="007E58EA"/>
    <w:rsid w:val="007F4FFC"/>
    <w:rsid w:val="00810256"/>
    <w:rsid w:val="008125F8"/>
    <w:rsid w:val="008274D4"/>
    <w:rsid w:val="008969A5"/>
    <w:rsid w:val="008A5174"/>
    <w:rsid w:val="008B02AC"/>
    <w:rsid w:val="009257A9"/>
    <w:rsid w:val="009A1CD3"/>
    <w:rsid w:val="009D0819"/>
    <w:rsid w:val="009D4FCD"/>
    <w:rsid w:val="009F1029"/>
    <w:rsid w:val="00A574B8"/>
    <w:rsid w:val="00AB1AB4"/>
    <w:rsid w:val="00AD7639"/>
    <w:rsid w:val="00B30D9F"/>
    <w:rsid w:val="00B4668A"/>
    <w:rsid w:val="00B531D4"/>
    <w:rsid w:val="00B63EA1"/>
    <w:rsid w:val="00BB278C"/>
    <w:rsid w:val="00BD23E7"/>
    <w:rsid w:val="00C756E6"/>
    <w:rsid w:val="00C81A45"/>
    <w:rsid w:val="00C82E0C"/>
    <w:rsid w:val="00C8580B"/>
    <w:rsid w:val="00C90383"/>
    <w:rsid w:val="00D4070A"/>
    <w:rsid w:val="00D93C41"/>
    <w:rsid w:val="00DE0EDC"/>
    <w:rsid w:val="00E4423E"/>
    <w:rsid w:val="00F3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028A"/>
  <w15:chartTrackingRefBased/>
  <w15:docId w15:val="{78915573-BDBF-4CAA-8C22-0FFBAC0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256"/>
    <w:rPr>
      <w:sz w:val="18"/>
    </w:rPr>
  </w:style>
  <w:style w:type="paragraph" w:styleId="Nadpis1">
    <w:name w:val="heading 1"/>
    <w:basedOn w:val="Normln"/>
    <w:link w:val="Nadpis1Char"/>
    <w:uiPriority w:val="9"/>
    <w:qFormat/>
    <w:rsid w:val="00AB1AB4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6D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AB4"/>
    <w:rPr>
      <w:rFonts w:asciiTheme="majorHAnsi" w:eastAsia="Times New Roman" w:hAnsiTheme="majorHAnsi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6D65"/>
    <w:rPr>
      <w:color w:val="003C73" w:themeColor="hyperlink"/>
      <w:u w:val="single"/>
    </w:rPr>
  </w:style>
  <w:style w:type="character" w:styleId="Siln">
    <w:name w:val="Strong"/>
    <w:basedOn w:val="Standardnpsmoodstavce"/>
    <w:uiPriority w:val="22"/>
    <w:qFormat/>
    <w:rsid w:val="00776D65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AB1AB4"/>
    <w:rPr>
      <w:rFonts w:asciiTheme="majorHAnsi" w:eastAsiaTheme="majorEastAsia" w:hAnsiTheme="majorHAnsi" w:cstheme="majorBidi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D65"/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paragraph" w:styleId="Odstavecseseznamem">
    <w:name w:val="List Paragraph"/>
    <w:basedOn w:val="Normln"/>
    <w:uiPriority w:val="34"/>
    <w:qFormat/>
    <w:rsid w:val="00776D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702"/>
  </w:style>
  <w:style w:type="paragraph" w:styleId="Zpat">
    <w:name w:val="footer"/>
    <w:basedOn w:val="Normln"/>
    <w:link w:val="ZpatChar"/>
    <w:uiPriority w:val="99"/>
    <w:unhideWhenUsed/>
    <w:rsid w:val="0060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702"/>
  </w:style>
  <w:style w:type="character" w:customStyle="1" w:styleId="Nadpis3Char">
    <w:name w:val="Nadpis 3 Char"/>
    <w:basedOn w:val="Standardnpsmoodstavce"/>
    <w:link w:val="Nadpis3"/>
    <w:uiPriority w:val="9"/>
    <w:rsid w:val="00AB1AB4"/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DE0EDC"/>
    <w:pPr>
      <w:spacing w:after="0" w:line="240" w:lineRule="auto"/>
    </w:pPr>
    <w:rPr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17C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CC4"/>
    <w:pPr>
      <w:pBdr>
        <w:top w:val="single" w:sz="18" w:space="10" w:color="FFC832" w:themeColor="background2"/>
        <w:left w:val="single" w:sz="18" w:space="4" w:color="FFC832" w:themeColor="background2"/>
        <w:bottom w:val="single" w:sz="18" w:space="10" w:color="FFC832" w:themeColor="background2"/>
        <w:right w:val="single" w:sz="18" w:space="4" w:color="FFC832" w:themeColor="background2"/>
      </w:pBdr>
      <w:shd w:val="clear" w:color="auto" w:fill="FFC832" w:themeFill="background2"/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CC4"/>
    <w:rPr>
      <w:i/>
      <w:iCs/>
      <w:color w:val="000000" w:themeColor="text1"/>
      <w:shd w:val="clear" w:color="auto" w:fill="FFC832" w:themeFill="background2"/>
    </w:rPr>
  </w:style>
  <w:style w:type="character" w:styleId="Odkazintenzivn">
    <w:name w:val="Intense Reference"/>
    <w:basedOn w:val="Standardnpsmoodstavce"/>
    <w:uiPriority w:val="32"/>
    <w:qFormat/>
    <w:rsid w:val="008969A5"/>
    <w:rPr>
      <w:b/>
      <w:bCs/>
      <w:smallCaps/>
      <w:color w:val="F4792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69A5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39"/>
    <w:rsid w:val="0089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lieb">
    <w:name w:val="chlieb"/>
    <w:basedOn w:val="Normln"/>
    <w:uiPriority w:val="99"/>
    <w:rsid w:val="00D4070A"/>
    <w:pPr>
      <w:autoSpaceDE w:val="0"/>
      <w:autoSpaceDN w:val="0"/>
      <w:adjustRightInd w:val="0"/>
      <w:spacing w:after="113" w:line="280" w:lineRule="atLeast"/>
      <w:jc w:val="both"/>
      <w:textAlignment w:val="center"/>
    </w:pPr>
    <w:rPr>
      <w:rFonts w:ascii="Roboto" w:hAnsi="Roboto" w:cs="Roboto"/>
      <w:color w:val="000000"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8102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10256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jurcova\Desktop\VJ\Hlavi&#269;kov&#233;%20pap&#237;ry\2024\CYRRUS-CS_hlavickovy_papir_2024.dotx" TargetMode="External"/></Relationships>
</file>

<file path=word/theme/theme1.xml><?xml version="1.0" encoding="utf-8"?>
<a:theme xmlns:a="http://schemas.openxmlformats.org/drawingml/2006/main" name="Motiv Office">
  <a:themeElements>
    <a:clrScheme name="CYRRUS 2021">
      <a:dk1>
        <a:srgbClr val="000000"/>
      </a:dk1>
      <a:lt1>
        <a:sysClr val="window" lastClr="FFFFFF"/>
      </a:lt1>
      <a:dk2>
        <a:srgbClr val="F47929"/>
      </a:dk2>
      <a:lt2>
        <a:srgbClr val="FFC832"/>
      </a:lt2>
      <a:accent1>
        <a:srgbClr val="F47929"/>
      </a:accent1>
      <a:accent2>
        <a:srgbClr val="FFC832"/>
      </a:accent2>
      <a:accent3>
        <a:srgbClr val="036531"/>
      </a:accent3>
      <a:accent4>
        <a:srgbClr val="AF251A"/>
      </a:accent4>
      <a:accent5>
        <a:srgbClr val="B78A17"/>
      </a:accent5>
      <a:accent6>
        <a:srgbClr val="917F5F"/>
      </a:accent6>
      <a:hlink>
        <a:srgbClr val="003C73"/>
      </a:hlink>
      <a:folHlink>
        <a:srgbClr val="00284E"/>
      </a:folHlink>
    </a:clrScheme>
    <a:fontScheme name="CYRRUS 2021">
      <a:majorFont>
        <a:latin typeface="Nexa Extra Bold"/>
        <a:ea typeface=""/>
        <a:cs typeface=""/>
      </a:majorFont>
      <a:minorFont>
        <a:latin typeface="Nexa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4AC0-F1AA-4590-998D-B13498CB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CYRRUS-CS_hlavickovy_papir_2024</Template>
  <TotalTime>6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Jurčová Veronika</dc:creator>
  <cp:keywords/>
  <dc:description/>
  <cp:lastModifiedBy>Jurčová Veronika</cp:lastModifiedBy>
  <cp:revision>3</cp:revision>
  <cp:lastPrinted>2020-10-26T13:09:00Z</cp:lastPrinted>
  <dcterms:created xsi:type="dcterms:W3CDTF">2024-05-28T09:17:00Z</dcterms:created>
  <dcterms:modified xsi:type="dcterms:W3CDTF">2024-05-28T09:28:00Z</dcterms:modified>
</cp:coreProperties>
</file>